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A48C" w14:textId="77777777" w:rsidR="00672394" w:rsidRDefault="00BF307B">
      <w:pPr>
        <w:jc w:val="center"/>
        <w:rPr>
          <w:rFonts w:ascii="Poppins" w:eastAsia="Times New Roman" w:hAnsi="Poppins" w:cs="Times New Roman"/>
          <w:sz w:val="28"/>
          <w:szCs w:val="28"/>
        </w:rPr>
      </w:pPr>
      <w:r>
        <w:rPr>
          <w:rFonts w:ascii="Poppins" w:eastAsia="Times New Roman" w:hAnsi="Poppins" w:cs="Times New Roman"/>
          <w:b/>
          <w:sz w:val="28"/>
          <w:szCs w:val="28"/>
        </w:rPr>
        <w:t>Notulen Dagelijks Bestuur GR NEF</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672394" w14:paraId="23A8124C" w14:textId="77777777">
        <w:tc>
          <w:tcPr>
            <w:tcW w:w="1604" w:type="dxa"/>
            <w:tcMar>
              <w:left w:w="0" w:type="dxa"/>
              <w:right w:w="0" w:type="dxa"/>
            </w:tcMar>
          </w:tcPr>
          <w:p w14:paraId="2EB96CE5" w14:textId="77777777" w:rsidR="00672394" w:rsidRDefault="00BF307B">
            <w:pPr>
              <w:rPr>
                <w:rFonts w:ascii="Poppins" w:eastAsia="Times New Roman" w:hAnsi="Poppins" w:cs="Times New Roman"/>
              </w:rPr>
            </w:pPr>
            <w:r>
              <w:rPr>
                <w:rFonts w:ascii="Poppins" w:eastAsia="Times New Roman" w:hAnsi="Poppins" w:cs="Times New Roman"/>
                <w:b/>
              </w:rPr>
              <w:t>Datum</w:t>
            </w:r>
          </w:p>
        </w:tc>
        <w:tc>
          <w:tcPr>
            <w:tcW w:w="7476" w:type="dxa"/>
            <w:tcMar>
              <w:left w:w="0" w:type="dxa"/>
              <w:right w:w="0" w:type="dxa"/>
            </w:tcMar>
          </w:tcPr>
          <w:p w14:paraId="1A936576" w14:textId="77777777" w:rsidR="00672394" w:rsidRDefault="00BF307B">
            <w:pPr>
              <w:rPr>
                <w:rFonts w:ascii="Poppins" w:eastAsia="Times New Roman" w:hAnsi="Poppins" w:cs="Times New Roman"/>
              </w:rPr>
            </w:pPr>
            <w:r>
              <w:rPr>
                <w:rFonts w:ascii="Poppins" w:eastAsia="Times New Roman" w:hAnsi="Poppins" w:cs="Times New Roman"/>
              </w:rPr>
              <w:t>15-12-2025</w:t>
            </w:r>
          </w:p>
        </w:tc>
      </w:tr>
      <w:tr w:rsidR="00672394" w14:paraId="3AEDF97C" w14:textId="77777777">
        <w:tc>
          <w:tcPr>
            <w:tcW w:w="1604" w:type="dxa"/>
            <w:tcMar>
              <w:left w:w="0" w:type="dxa"/>
              <w:right w:w="0" w:type="dxa"/>
            </w:tcMar>
          </w:tcPr>
          <w:p w14:paraId="01D2AA75" w14:textId="77777777" w:rsidR="00672394" w:rsidRDefault="00BF307B">
            <w:pPr>
              <w:rPr>
                <w:rFonts w:ascii="Poppins" w:eastAsia="Times New Roman" w:hAnsi="Poppins" w:cs="Times New Roman"/>
              </w:rPr>
            </w:pPr>
            <w:r>
              <w:rPr>
                <w:rFonts w:ascii="Poppins" w:eastAsia="Times New Roman" w:hAnsi="Poppins" w:cs="Times New Roman"/>
                <w:b/>
              </w:rPr>
              <w:t>Tijd</w:t>
            </w:r>
          </w:p>
        </w:tc>
        <w:tc>
          <w:tcPr>
            <w:tcW w:w="7476" w:type="dxa"/>
            <w:tcMar>
              <w:left w:w="0" w:type="dxa"/>
              <w:right w:w="0" w:type="dxa"/>
            </w:tcMar>
          </w:tcPr>
          <w:p w14:paraId="09E1EA80" w14:textId="77777777" w:rsidR="00672394" w:rsidRDefault="00BF307B">
            <w:pPr>
              <w:rPr>
                <w:rFonts w:ascii="Poppins" w:eastAsia="Times New Roman" w:hAnsi="Poppins" w:cs="Times New Roman"/>
              </w:rPr>
            </w:pPr>
            <w:r>
              <w:rPr>
                <w:rFonts w:ascii="Poppins" w:eastAsia="Times New Roman" w:hAnsi="Poppins" w:cs="Times New Roman"/>
              </w:rPr>
              <w:t>15:30 - 16:30</w:t>
            </w:r>
          </w:p>
        </w:tc>
      </w:tr>
      <w:tr w:rsidR="00672394" w14:paraId="593104EC" w14:textId="77777777">
        <w:tc>
          <w:tcPr>
            <w:tcW w:w="1604" w:type="dxa"/>
            <w:tcMar>
              <w:left w:w="0" w:type="dxa"/>
              <w:right w:w="0" w:type="dxa"/>
            </w:tcMar>
          </w:tcPr>
          <w:p w14:paraId="5688D15E" w14:textId="77777777" w:rsidR="00672394" w:rsidRDefault="00BF307B">
            <w:pPr>
              <w:rPr>
                <w:rFonts w:ascii="Poppins" w:eastAsia="Times New Roman" w:hAnsi="Poppins" w:cs="Times New Roman"/>
              </w:rPr>
            </w:pPr>
            <w:r>
              <w:rPr>
                <w:rFonts w:ascii="Poppins" w:eastAsia="Times New Roman" w:hAnsi="Poppins" w:cs="Times New Roman"/>
                <w:b/>
              </w:rPr>
              <w:t>Locatie</w:t>
            </w:r>
          </w:p>
        </w:tc>
        <w:tc>
          <w:tcPr>
            <w:tcW w:w="7476" w:type="dxa"/>
            <w:tcMar>
              <w:left w:w="0" w:type="dxa"/>
              <w:right w:w="0" w:type="dxa"/>
            </w:tcMar>
          </w:tcPr>
          <w:p w14:paraId="59D4F111" w14:textId="77777777" w:rsidR="00672394" w:rsidRDefault="00BF307B">
            <w:pPr>
              <w:rPr>
                <w:rFonts w:ascii="Poppins" w:eastAsia="Times New Roman" w:hAnsi="Poppins" w:cs="Times New Roman"/>
              </w:rPr>
            </w:pPr>
            <w:r>
              <w:rPr>
                <w:rFonts w:ascii="Poppins" w:eastAsia="Times New Roman" w:hAnsi="Poppins" w:cs="Times New Roman"/>
              </w:rPr>
              <w:t>Dokwurk</w:t>
            </w:r>
          </w:p>
        </w:tc>
      </w:tr>
      <w:tr w:rsidR="00672394" w14:paraId="6287FB23" w14:textId="77777777">
        <w:tc>
          <w:tcPr>
            <w:tcW w:w="1604" w:type="dxa"/>
            <w:tcMar>
              <w:left w:w="0" w:type="dxa"/>
              <w:right w:w="0" w:type="dxa"/>
            </w:tcMar>
          </w:tcPr>
          <w:p w14:paraId="4896B337" w14:textId="77777777" w:rsidR="00672394" w:rsidRDefault="00BF307B">
            <w:pPr>
              <w:rPr>
                <w:rFonts w:ascii="Poppins" w:eastAsia="Times New Roman" w:hAnsi="Poppins" w:cs="Times New Roman"/>
              </w:rPr>
            </w:pPr>
            <w:r>
              <w:rPr>
                <w:rFonts w:ascii="Poppins" w:eastAsia="Times New Roman" w:hAnsi="Poppins" w:cs="Times New Roman"/>
                <w:b/>
              </w:rPr>
              <w:t>Voorzitter</w:t>
            </w:r>
          </w:p>
        </w:tc>
        <w:tc>
          <w:tcPr>
            <w:tcW w:w="7476" w:type="dxa"/>
            <w:tcMar>
              <w:left w:w="0" w:type="dxa"/>
              <w:right w:w="0" w:type="dxa"/>
            </w:tcMar>
          </w:tcPr>
          <w:p w14:paraId="58662AE2" w14:textId="77777777" w:rsidR="00672394" w:rsidRDefault="00BF307B">
            <w:pPr>
              <w:rPr>
                <w:rFonts w:ascii="Poppins" w:eastAsia="Times New Roman" w:hAnsi="Poppins" w:cs="Times New Roman"/>
              </w:rPr>
            </w:pPr>
            <w:r>
              <w:rPr>
                <w:rFonts w:ascii="Poppins" w:eastAsia="Times New Roman" w:hAnsi="Poppins" w:cs="Times New Roman"/>
              </w:rPr>
              <w:t>R. Kempenaar</w:t>
            </w:r>
          </w:p>
        </w:tc>
      </w:tr>
    </w:tbl>
    <w:p w14:paraId="15BA6228" w14:textId="77777777" w:rsidR="00672394" w:rsidRDefault="00672394">
      <w:pPr>
        <w:rPr>
          <w:rFonts w:ascii="Poppins" w:eastAsia="Times New Roman" w:hAnsi="Poppins" w:cs="Times New Roman"/>
          <w:sz w:val="16"/>
          <w:szCs w:val="16"/>
        </w:rPr>
      </w:pPr>
    </w:p>
    <w:tbl>
      <w:tblPr>
        <w:tblStyle w:val="Tabelraster"/>
        <w:tblW w:w="10348" w:type="dxa"/>
        <w:tblBorders>
          <w:top w:val="nil"/>
          <w:left w:val="nil"/>
          <w:bottom w:val="nil"/>
          <w:right w:val="nil"/>
          <w:insideH w:val="nil"/>
          <w:insideV w:val="nil"/>
        </w:tblBorders>
        <w:tblLayout w:type="fixed"/>
        <w:tblLook w:val="04A0" w:firstRow="1" w:lastRow="0" w:firstColumn="1" w:lastColumn="0" w:noHBand="0" w:noVBand="1"/>
      </w:tblPr>
      <w:tblGrid>
        <w:gridCol w:w="567"/>
        <w:gridCol w:w="9781"/>
      </w:tblGrid>
      <w:tr w:rsidR="00672394" w14:paraId="7F94C95A" w14:textId="77777777" w:rsidTr="00B86198">
        <w:tc>
          <w:tcPr>
            <w:tcW w:w="567" w:type="dxa"/>
            <w:shd w:val="clear" w:color="auto" w:fill="E7E6E6" w:themeFill="background2"/>
          </w:tcPr>
          <w:p w14:paraId="2A545659" w14:textId="77777777" w:rsidR="00672394" w:rsidRDefault="00672394">
            <w:pPr>
              <w:rPr>
                <w:rFonts w:ascii="Poppins" w:eastAsia="Times New Roman" w:hAnsi="Poppins" w:cs="Times New Roman"/>
              </w:rPr>
            </w:pPr>
          </w:p>
        </w:tc>
        <w:tc>
          <w:tcPr>
            <w:tcW w:w="9781" w:type="dxa"/>
            <w:shd w:val="clear" w:color="auto" w:fill="E7E6E6" w:themeFill="background2"/>
          </w:tcPr>
          <w:p w14:paraId="0081688E" w14:textId="77777777" w:rsidR="00672394" w:rsidRDefault="00672394">
            <w:pPr>
              <w:rPr>
                <w:rFonts w:ascii="Poppins" w:eastAsia="Times New Roman" w:hAnsi="Poppins" w:cs="Times New Roman"/>
              </w:rPr>
            </w:pPr>
          </w:p>
        </w:tc>
      </w:tr>
      <w:tr w:rsidR="00672394" w14:paraId="78B5F070" w14:textId="77777777" w:rsidTr="00B86198">
        <w:tc>
          <w:tcPr>
            <w:tcW w:w="567" w:type="dxa"/>
          </w:tcPr>
          <w:p w14:paraId="09FD83A0" w14:textId="77777777" w:rsidR="00672394" w:rsidRDefault="00BF307B">
            <w:pPr>
              <w:rPr>
                <w:rFonts w:ascii="Poppins" w:eastAsia="Times New Roman" w:hAnsi="Poppins" w:cs="Times New Roman"/>
              </w:rPr>
            </w:pPr>
            <w:r>
              <w:rPr>
                <w:rFonts w:ascii="Poppins" w:eastAsia="Times New Roman" w:hAnsi="Poppins" w:cs="Times New Roman"/>
                <w:b/>
              </w:rPr>
              <w:t>1</w:t>
            </w:r>
          </w:p>
          <w:p w14:paraId="5DAF4ECA" w14:textId="77777777" w:rsidR="00672394" w:rsidRDefault="00672394">
            <w:pPr>
              <w:rPr>
                <w:rFonts w:ascii="Poppins" w:eastAsia="Times New Roman" w:hAnsi="Poppins" w:cs="Times New Roman"/>
                <w:sz w:val="16"/>
                <w:szCs w:val="16"/>
              </w:rPr>
            </w:pPr>
          </w:p>
        </w:tc>
        <w:tc>
          <w:tcPr>
            <w:tcW w:w="9781" w:type="dxa"/>
          </w:tcPr>
          <w:p w14:paraId="296E8808" w14:textId="77777777" w:rsidR="00672394" w:rsidRDefault="00BF307B">
            <w:pPr>
              <w:rPr>
                <w:rFonts w:ascii="Poppins" w:eastAsia="Times New Roman" w:hAnsi="Poppins" w:cs="Times New Roman"/>
              </w:rPr>
            </w:pPr>
            <w:r>
              <w:rPr>
                <w:rFonts w:ascii="Poppins" w:eastAsia="Times New Roman" w:hAnsi="Poppins" w:cs="Times New Roman"/>
                <w:b/>
              </w:rPr>
              <w:t>Opening</w:t>
            </w:r>
          </w:p>
          <w:p w14:paraId="76B7B09B" w14:textId="77777777" w:rsidR="00672394" w:rsidRDefault="00BF307B">
            <w:pPr>
              <w:divId w:val="1109099260"/>
            </w:pPr>
            <w:r>
              <w:rPr>
                <w:rFonts w:ascii="Poppins" w:hAnsi="Poppins"/>
              </w:rPr>
              <w:t>De voorzitter opent de vergadering.</w:t>
            </w:r>
            <w:r>
              <w:rPr>
                <w:rFonts w:ascii="Poppins" w:hAnsi="Poppins"/>
              </w:rPr>
              <w:br/>
              <w:t>Wiebrig is deze vergadering afwezig. Jan verzorgt de notulen.</w:t>
            </w:r>
          </w:p>
          <w:p w14:paraId="7FFF1AD9" w14:textId="77777777" w:rsidR="00672394" w:rsidRDefault="00672394">
            <w:pPr>
              <w:rPr>
                <w:rFonts w:ascii="Poppins" w:eastAsia="Times New Roman" w:hAnsi="Poppins" w:cs="Times New Roman"/>
                <w:sz w:val="16"/>
                <w:szCs w:val="16"/>
              </w:rPr>
            </w:pPr>
          </w:p>
        </w:tc>
      </w:tr>
      <w:tr w:rsidR="00672394" w14:paraId="08A76ADD" w14:textId="77777777" w:rsidTr="00B86198">
        <w:tc>
          <w:tcPr>
            <w:tcW w:w="567" w:type="dxa"/>
          </w:tcPr>
          <w:p w14:paraId="76D5F165" w14:textId="77777777" w:rsidR="00672394" w:rsidRDefault="00BF307B">
            <w:pPr>
              <w:rPr>
                <w:rFonts w:ascii="Poppins" w:eastAsia="Times New Roman" w:hAnsi="Poppins" w:cs="Times New Roman"/>
              </w:rPr>
            </w:pPr>
            <w:r>
              <w:rPr>
                <w:rFonts w:ascii="Poppins" w:eastAsia="Times New Roman" w:hAnsi="Poppins" w:cs="Times New Roman"/>
                <w:b/>
              </w:rPr>
              <w:t>2</w:t>
            </w:r>
          </w:p>
          <w:p w14:paraId="089AA183" w14:textId="77777777" w:rsidR="00672394" w:rsidRDefault="00672394">
            <w:pPr>
              <w:rPr>
                <w:rFonts w:ascii="Poppins" w:eastAsia="Times New Roman" w:hAnsi="Poppins" w:cs="Times New Roman"/>
                <w:sz w:val="16"/>
                <w:szCs w:val="16"/>
              </w:rPr>
            </w:pPr>
          </w:p>
        </w:tc>
        <w:tc>
          <w:tcPr>
            <w:tcW w:w="9781" w:type="dxa"/>
          </w:tcPr>
          <w:p w14:paraId="2F32CEC5" w14:textId="77777777" w:rsidR="00672394" w:rsidRDefault="00BF307B">
            <w:pPr>
              <w:rPr>
                <w:rFonts w:ascii="Poppins" w:eastAsia="Times New Roman" w:hAnsi="Poppins" w:cs="Times New Roman"/>
              </w:rPr>
            </w:pPr>
            <w:r>
              <w:rPr>
                <w:rFonts w:ascii="Poppins" w:eastAsia="Times New Roman" w:hAnsi="Poppins" w:cs="Times New Roman"/>
                <w:b/>
              </w:rPr>
              <w:t>Besluitenlijst DB d.d. 11-09-2025</w:t>
            </w:r>
          </w:p>
          <w:p w14:paraId="011B8F6E" w14:textId="77777777" w:rsidR="00B86198" w:rsidRDefault="00B86198">
            <w:pPr>
              <w:divId w:val="597548449"/>
              <w:rPr>
                <w:rFonts w:ascii="Poppins" w:hAnsi="Poppins"/>
              </w:rPr>
            </w:pPr>
          </w:p>
          <w:p w14:paraId="552DD502" w14:textId="20E07DF7" w:rsidR="00672394" w:rsidRDefault="00B86198">
            <w:pPr>
              <w:divId w:val="597548449"/>
            </w:pPr>
            <w:r>
              <w:rPr>
                <w:rFonts w:ascii="Poppins" w:hAnsi="Poppins"/>
                <w:b/>
                <w:bCs/>
              </w:rPr>
              <w:t>Tekstueel:</w:t>
            </w:r>
            <w:r w:rsidR="00BF307B">
              <w:rPr>
                <w:rFonts w:ascii="Poppins" w:hAnsi="Poppins"/>
              </w:rPr>
              <w:br/>
              <w:t>Geen op- en/of aanmerkingen. De notulen worden conform vastgesteld.</w:t>
            </w:r>
            <w:r w:rsidR="00BF307B">
              <w:rPr>
                <w:rFonts w:ascii="Poppins" w:hAnsi="Poppins"/>
              </w:rPr>
              <w:br/>
            </w:r>
            <w:r w:rsidR="00BF307B">
              <w:rPr>
                <w:rFonts w:ascii="Poppins" w:hAnsi="Poppins"/>
              </w:rPr>
              <w:br/>
            </w:r>
            <w:r w:rsidR="00BF307B">
              <w:rPr>
                <w:rStyle w:val="Zwaar"/>
                <w:rFonts w:ascii="Poppins" w:hAnsi="Poppins"/>
              </w:rPr>
              <w:t>Naar aanleiding van:</w:t>
            </w:r>
            <w:r w:rsidR="00BF307B">
              <w:rPr>
                <w:rFonts w:ascii="Poppins" w:hAnsi="Poppins"/>
              </w:rPr>
              <w:br/>
              <w:t>-</w:t>
            </w:r>
          </w:p>
          <w:p w14:paraId="5A51A157" w14:textId="77777777" w:rsidR="00672394" w:rsidRDefault="00672394">
            <w:pPr>
              <w:rPr>
                <w:rFonts w:ascii="Poppins" w:eastAsia="Times New Roman" w:hAnsi="Poppins" w:cs="Times New Roman"/>
                <w:sz w:val="16"/>
                <w:szCs w:val="16"/>
              </w:rPr>
            </w:pPr>
          </w:p>
        </w:tc>
      </w:tr>
      <w:tr w:rsidR="00672394" w14:paraId="28C16205" w14:textId="77777777" w:rsidTr="00B86198">
        <w:tc>
          <w:tcPr>
            <w:tcW w:w="567" w:type="dxa"/>
          </w:tcPr>
          <w:p w14:paraId="19BB551D" w14:textId="77777777" w:rsidR="00672394" w:rsidRDefault="00BF307B">
            <w:pPr>
              <w:rPr>
                <w:rFonts w:ascii="Poppins" w:eastAsia="Times New Roman" w:hAnsi="Poppins" w:cs="Times New Roman"/>
              </w:rPr>
            </w:pPr>
            <w:r>
              <w:rPr>
                <w:rFonts w:ascii="Poppins" w:eastAsia="Times New Roman" w:hAnsi="Poppins" w:cs="Times New Roman"/>
                <w:b/>
              </w:rPr>
              <w:t>3</w:t>
            </w:r>
          </w:p>
          <w:p w14:paraId="42BCEF2F" w14:textId="77777777" w:rsidR="00672394" w:rsidRDefault="00672394">
            <w:pPr>
              <w:rPr>
                <w:rFonts w:ascii="Poppins" w:eastAsia="Times New Roman" w:hAnsi="Poppins" w:cs="Times New Roman"/>
                <w:sz w:val="16"/>
                <w:szCs w:val="16"/>
              </w:rPr>
            </w:pPr>
          </w:p>
        </w:tc>
        <w:tc>
          <w:tcPr>
            <w:tcW w:w="9781" w:type="dxa"/>
          </w:tcPr>
          <w:p w14:paraId="6530BA02" w14:textId="77777777" w:rsidR="00672394" w:rsidRDefault="00BF307B">
            <w:pPr>
              <w:rPr>
                <w:rFonts w:ascii="Poppins" w:eastAsia="Times New Roman" w:hAnsi="Poppins" w:cs="Times New Roman"/>
              </w:rPr>
            </w:pPr>
            <w:r>
              <w:rPr>
                <w:rFonts w:ascii="Poppins" w:eastAsia="Times New Roman" w:hAnsi="Poppins" w:cs="Times New Roman"/>
                <w:b/>
              </w:rPr>
              <w:t>Ingekomen stukken en mededelingen</w:t>
            </w:r>
          </w:p>
          <w:p w14:paraId="4A0668D9" w14:textId="77777777" w:rsidR="00672394" w:rsidRDefault="00BF307B">
            <w:pPr>
              <w:divId w:val="533564497"/>
            </w:pPr>
            <w:r>
              <w:rPr>
                <w:rFonts w:ascii="Poppins" w:hAnsi="Poppins"/>
              </w:rPr>
              <w:t>Er zijn geen ingekomen stukken en/of mededelingen.</w:t>
            </w:r>
          </w:p>
          <w:p w14:paraId="72F12911" w14:textId="77777777" w:rsidR="00672394" w:rsidRDefault="00672394">
            <w:pPr>
              <w:rPr>
                <w:rFonts w:ascii="Poppins" w:eastAsia="Times New Roman" w:hAnsi="Poppins" w:cs="Times New Roman"/>
                <w:sz w:val="16"/>
                <w:szCs w:val="16"/>
              </w:rPr>
            </w:pPr>
          </w:p>
        </w:tc>
      </w:tr>
      <w:tr w:rsidR="00672394" w14:paraId="04D6FF77" w14:textId="77777777" w:rsidTr="00B86198">
        <w:tc>
          <w:tcPr>
            <w:tcW w:w="567" w:type="dxa"/>
          </w:tcPr>
          <w:p w14:paraId="1DDA2293" w14:textId="77777777" w:rsidR="00672394" w:rsidRDefault="00BF307B">
            <w:pPr>
              <w:rPr>
                <w:rFonts w:ascii="Poppins" w:eastAsia="Times New Roman" w:hAnsi="Poppins" w:cs="Times New Roman"/>
              </w:rPr>
            </w:pPr>
            <w:r>
              <w:rPr>
                <w:rFonts w:ascii="Poppins" w:eastAsia="Times New Roman" w:hAnsi="Poppins" w:cs="Times New Roman"/>
                <w:b/>
              </w:rPr>
              <w:t>4</w:t>
            </w:r>
          </w:p>
          <w:p w14:paraId="546D2330" w14:textId="77777777" w:rsidR="00672394" w:rsidRDefault="00672394">
            <w:pPr>
              <w:rPr>
                <w:rFonts w:ascii="Poppins" w:eastAsia="Times New Roman" w:hAnsi="Poppins" w:cs="Times New Roman"/>
                <w:sz w:val="16"/>
                <w:szCs w:val="16"/>
              </w:rPr>
            </w:pPr>
          </w:p>
        </w:tc>
        <w:tc>
          <w:tcPr>
            <w:tcW w:w="9781" w:type="dxa"/>
          </w:tcPr>
          <w:p w14:paraId="79EBD4B5" w14:textId="77777777" w:rsidR="00672394" w:rsidRDefault="00BF307B">
            <w:pPr>
              <w:rPr>
                <w:rFonts w:ascii="Poppins" w:eastAsia="Times New Roman" w:hAnsi="Poppins" w:cs="Times New Roman"/>
              </w:rPr>
            </w:pPr>
            <w:r>
              <w:rPr>
                <w:rFonts w:ascii="Poppins" w:eastAsia="Times New Roman" w:hAnsi="Poppins" w:cs="Times New Roman"/>
                <w:b/>
              </w:rPr>
              <w:t>Perioderapportage drecteur/stand van zaken</w:t>
            </w:r>
          </w:p>
          <w:p w14:paraId="5192730A" w14:textId="77777777" w:rsidR="00B86198" w:rsidRDefault="00BF307B" w:rsidP="00B86198">
            <w:pPr>
              <w:jc w:val="both"/>
              <w:divId w:val="1839056987"/>
              <w:rPr>
                <w:rFonts w:ascii="Poppins" w:hAnsi="Poppins"/>
              </w:rPr>
            </w:pPr>
            <w:r>
              <w:rPr>
                <w:rFonts w:ascii="Poppins" w:hAnsi="Poppins"/>
              </w:rPr>
              <w:t xml:space="preserve">Directeur Hans van der Meulen is op 1 juni gestart en brengt een verslag in voor het bestuur over zijn bevindingen in het eerste halfjaar. Het verslag zal ook met de AB leden worden gedeeld. Verzoek om het nog even in </w:t>
            </w:r>
            <w:proofErr w:type="spellStart"/>
            <w:r>
              <w:rPr>
                <w:rFonts w:ascii="Poppins" w:hAnsi="Poppins"/>
              </w:rPr>
              <w:t>iBabs</w:t>
            </w:r>
            <w:proofErr w:type="spellEnd"/>
            <w:r>
              <w:rPr>
                <w:rFonts w:ascii="Poppins" w:hAnsi="Poppins"/>
              </w:rPr>
              <w:t xml:space="preserve"> te plaatsen.</w:t>
            </w:r>
          </w:p>
          <w:p w14:paraId="32E0E0E8" w14:textId="77777777" w:rsidR="00B86198" w:rsidRDefault="00BF307B" w:rsidP="00B86198">
            <w:pPr>
              <w:jc w:val="both"/>
              <w:divId w:val="1839056987"/>
              <w:rPr>
                <w:rStyle w:val="Zwaar"/>
                <w:rFonts w:ascii="Poppins" w:hAnsi="Poppins"/>
              </w:rPr>
            </w:pPr>
            <w:r>
              <w:rPr>
                <w:rFonts w:ascii="Poppins" w:hAnsi="Poppins"/>
              </w:rPr>
              <w:br/>
            </w:r>
            <w:r>
              <w:rPr>
                <w:rStyle w:val="Zwaar"/>
                <w:rFonts w:ascii="Poppins" w:hAnsi="Poppins"/>
              </w:rPr>
              <w:t xml:space="preserve">Toekomst </w:t>
            </w:r>
            <w:proofErr w:type="spellStart"/>
            <w:r>
              <w:rPr>
                <w:rStyle w:val="Zwaar"/>
                <w:rFonts w:ascii="Poppins" w:hAnsi="Poppins"/>
              </w:rPr>
              <w:t>Wurkstart</w:t>
            </w:r>
            <w:proofErr w:type="spellEnd"/>
            <w:r>
              <w:rPr>
                <w:rStyle w:val="Zwaar"/>
                <w:rFonts w:ascii="Poppins" w:hAnsi="Poppins"/>
              </w:rPr>
              <w:t>:</w:t>
            </w:r>
          </w:p>
          <w:p w14:paraId="076990DF" w14:textId="7820EFA8" w:rsidR="00672394" w:rsidRDefault="00BF307B" w:rsidP="00B86198">
            <w:pPr>
              <w:jc w:val="both"/>
              <w:divId w:val="1839056987"/>
            </w:pPr>
            <w:r>
              <w:rPr>
                <w:rFonts w:ascii="Poppins" w:hAnsi="Poppins"/>
              </w:rPr>
              <w:t>Er is een gesprek geweest met de beleidsmedewerkers van gemeenten Dantumadiel en NE-F en de projectleider van Wurkstart over toekomst van Wurkstart na 1-1-2027. Afgesproken is dat Dokwurk in januari a.s. gaat kijken of en hoe de werkzaamheden van Wurkstart bij Dokwurk kunnen worden geïntegreerd. De grondhouding hiervoor is positief, maar directeur Van der Meulen geeft aan dat hij dit alleen wil doen met bestuurlijke dekking. De DB-leden geven aan dat ze de inzet steunen. De wethouders van de gemeenten Achtkarspelen en Tytsjerksteradiel hebben in eerdere fase, bij het vervolg over de toekomst van Wurkstart in “Anno verband”, aangegeven dat zij niet verder willen met Wurkstart.</w:t>
            </w:r>
          </w:p>
          <w:p w14:paraId="77E77095" w14:textId="77777777" w:rsidR="00672394" w:rsidRDefault="00672394">
            <w:pPr>
              <w:rPr>
                <w:rFonts w:ascii="Poppins" w:eastAsia="Times New Roman" w:hAnsi="Poppins" w:cs="Times New Roman"/>
                <w:sz w:val="16"/>
                <w:szCs w:val="16"/>
              </w:rPr>
            </w:pPr>
          </w:p>
        </w:tc>
      </w:tr>
      <w:tr w:rsidR="00672394" w14:paraId="1807F69D" w14:textId="77777777" w:rsidTr="00B86198">
        <w:tc>
          <w:tcPr>
            <w:tcW w:w="567" w:type="dxa"/>
          </w:tcPr>
          <w:p w14:paraId="47132B1B" w14:textId="77777777" w:rsidR="00672394" w:rsidRDefault="00BF307B">
            <w:pPr>
              <w:rPr>
                <w:rFonts w:ascii="Poppins" w:eastAsia="Times New Roman" w:hAnsi="Poppins" w:cs="Times New Roman"/>
              </w:rPr>
            </w:pPr>
            <w:r>
              <w:rPr>
                <w:rFonts w:ascii="Poppins" w:eastAsia="Times New Roman" w:hAnsi="Poppins" w:cs="Times New Roman"/>
                <w:b/>
              </w:rPr>
              <w:t>5</w:t>
            </w:r>
          </w:p>
          <w:p w14:paraId="45699176" w14:textId="77777777" w:rsidR="00672394" w:rsidRDefault="00672394">
            <w:pPr>
              <w:rPr>
                <w:rFonts w:ascii="Poppins" w:eastAsia="Times New Roman" w:hAnsi="Poppins" w:cs="Times New Roman"/>
                <w:sz w:val="16"/>
                <w:szCs w:val="16"/>
              </w:rPr>
            </w:pPr>
          </w:p>
        </w:tc>
        <w:tc>
          <w:tcPr>
            <w:tcW w:w="9781" w:type="dxa"/>
          </w:tcPr>
          <w:p w14:paraId="7DFE2FDC" w14:textId="77777777" w:rsidR="00672394" w:rsidRDefault="00BF307B">
            <w:pPr>
              <w:rPr>
                <w:rFonts w:ascii="Poppins" w:eastAsia="Times New Roman" w:hAnsi="Poppins" w:cs="Times New Roman"/>
              </w:rPr>
            </w:pPr>
            <w:r>
              <w:rPr>
                <w:rFonts w:ascii="Poppins" w:eastAsia="Times New Roman" w:hAnsi="Poppins" w:cs="Times New Roman"/>
                <w:b/>
              </w:rPr>
              <w:t>Financieel</w:t>
            </w:r>
          </w:p>
          <w:p w14:paraId="14642165" w14:textId="77777777" w:rsidR="00B86198" w:rsidRDefault="00BF307B" w:rsidP="00B86198">
            <w:pPr>
              <w:jc w:val="both"/>
              <w:divId w:val="78257228"/>
              <w:rPr>
                <w:rFonts w:ascii="Poppins" w:hAnsi="Poppins"/>
              </w:rPr>
            </w:pPr>
            <w:r>
              <w:rPr>
                <w:rFonts w:ascii="Poppins" w:hAnsi="Poppins"/>
              </w:rPr>
              <w:t>Er is in deze vergadering geen nieuwe financiële input voor de bestuurders. De afdronk op financiën is dat het een goed jaar is geweest en de eindejaarprognose is ongewijzigd.</w:t>
            </w:r>
          </w:p>
          <w:p w14:paraId="0971BE2B" w14:textId="77777777" w:rsidR="00B86198" w:rsidRDefault="00B86198" w:rsidP="00B86198">
            <w:pPr>
              <w:jc w:val="both"/>
              <w:divId w:val="78257228"/>
              <w:rPr>
                <w:rStyle w:val="Zwaar"/>
                <w:rFonts w:ascii="Poppins" w:hAnsi="Poppins"/>
              </w:rPr>
            </w:pPr>
          </w:p>
          <w:p w14:paraId="54CBDAF6" w14:textId="190C56FC" w:rsidR="00B86198" w:rsidRDefault="00BF307B" w:rsidP="00B86198">
            <w:pPr>
              <w:jc w:val="both"/>
              <w:divId w:val="78257228"/>
              <w:rPr>
                <w:rStyle w:val="Zwaar"/>
                <w:rFonts w:ascii="Poppins" w:hAnsi="Poppins"/>
              </w:rPr>
            </w:pPr>
            <w:r>
              <w:rPr>
                <w:rStyle w:val="Zwaar"/>
                <w:rFonts w:ascii="Poppins" w:hAnsi="Poppins"/>
              </w:rPr>
              <w:t>Interne stuurbegroting 2026</w:t>
            </w:r>
          </w:p>
          <w:p w14:paraId="7EF501A6" w14:textId="77777777" w:rsidR="00BF307B" w:rsidRDefault="00BF307B" w:rsidP="00B86198">
            <w:pPr>
              <w:jc w:val="both"/>
              <w:divId w:val="78257228"/>
              <w:rPr>
                <w:rFonts w:ascii="Poppins" w:hAnsi="Poppins"/>
              </w:rPr>
            </w:pPr>
            <w:r>
              <w:rPr>
                <w:rFonts w:ascii="Poppins" w:hAnsi="Poppins"/>
              </w:rPr>
              <w:t xml:space="preserve">Het DB wordt bijgepraat over de uitkomst van de doorrekening van de stuurbegroting voor 2026. </w:t>
            </w:r>
          </w:p>
          <w:p w14:paraId="6DC9933E" w14:textId="12BD305C" w:rsidR="00B86198" w:rsidRDefault="00BF307B" w:rsidP="00B86198">
            <w:pPr>
              <w:jc w:val="both"/>
              <w:divId w:val="78257228"/>
              <w:rPr>
                <w:rFonts w:ascii="Poppins" w:hAnsi="Poppins"/>
              </w:rPr>
            </w:pPr>
            <w:r>
              <w:rPr>
                <w:rFonts w:ascii="Poppins" w:hAnsi="Poppins"/>
              </w:rPr>
              <w:lastRenderedPageBreak/>
              <w:t xml:space="preserve">De interne doorrekening laat zien dat deze ruim 6 ton binnen de goedgekeurde programmabegroting valt. De interne stuurbegroting is echter opgesteld onder “goïng concern” met als uitgangspunt dat er </w:t>
            </w:r>
            <w:r>
              <w:rPr>
                <w:rStyle w:val="Nadruk"/>
                <w:rFonts w:ascii="Poppins" w:hAnsi="Poppins"/>
              </w:rPr>
              <w:t>geen</w:t>
            </w:r>
            <w:r>
              <w:rPr>
                <w:rFonts w:ascii="Poppins" w:hAnsi="Poppins"/>
              </w:rPr>
              <w:t xml:space="preserve"> onvoorziene ontwikkelingen gaan plaatsvinden in de omzet of op het vlak van rijkssubsidies.</w:t>
            </w:r>
          </w:p>
          <w:p w14:paraId="1BAA1FE9" w14:textId="77777777" w:rsidR="00B86198" w:rsidRDefault="00BF307B" w:rsidP="00B86198">
            <w:pPr>
              <w:jc w:val="both"/>
              <w:divId w:val="78257228"/>
              <w:rPr>
                <w:rFonts w:ascii="Poppins" w:hAnsi="Poppins"/>
              </w:rPr>
            </w:pPr>
            <w:r>
              <w:rPr>
                <w:rFonts w:ascii="Poppins" w:hAnsi="Poppins"/>
              </w:rPr>
              <w:t>Het DB wijst de directie op de betrekkelijkheid van een goed resultaat; “het gaat nu goed maar er komen ook andere tijden”. Blijf zorgen voor een gezond en sterk Dokwurk.</w:t>
            </w:r>
          </w:p>
          <w:p w14:paraId="14652359" w14:textId="1B05E495" w:rsidR="00B86198" w:rsidRDefault="00BF307B" w:rsidP="00B86198">
            <w:pPr>
              <w:jc w:val="both"/>
              <w:divId w:val="78257228"/>
              <w:rPr>
                <w:rFonts w:ascii="Poppins" w:hAnsi="Poppins"/>
              </w:rPr>
            </w:pPr>
            <w:r>
              <w:rPr>
                <w:rFonts w:ascii="Poppins" w:hAnsi="Poppins"/>
              </w:rPr>
              <w:t>Annex aan de begroting wordt ook het belang van enkele grote klanten binnen het bedrijfsonderdeel Industrie besproken. De heer Braaksma stel</w:t>
            </w:r>
            <w:r w:rsidR="00B86198">
              <w:rPr>
                <w:rFonts w:ascii="Poppins" w:hAnsi="Poppins"/>
              </w:rPr>
              <w:t>t</w:t>
            </w:r>
            <w:r>
              <w:rPr>
                <w:rFonts w:ascii="Poppins" w:hAnsi="Poppins"/>
              </w:rPr>
              <w:t xml:space="preserve"> voor om als DB, samen met de directeur, de top 3 klanten te gaan bezoeken. Als waardering maar ook om onze gezamenlijke belangen te benadrukken.</w:t>
            </w:r>
          </w:p>
          <w:p w14:paraId="25084052" w14:textId="0709B8DF" w:rsidR="00672394" w:rsidRDefault="00BF307B" w:rsidP="00B86198">
            <w:pPr>
              <w:jc w:val="both"/>
              <w:divId w:val="78257228"/>
            </w:pPr>
            <w:r>
              <w:rPr>
                <w:rFonts w:ascii="Poppins" w:hAnsi="Poppins"/>
              </w:rPr>
              <w:t>N</w:t>
            </w:r>
            <w:r w:rsidR="00B86198">
              <w:rPr>
                <w:rFonts w:ascii="Poppins" w:hAnsi="Poppins"/>
              </w:rPr>
              <w:t>.B.</w:t>
            </w:r>
            <w:r>
              <w:rPr>
                <w:rFonts w:ascii="Poppins" w:hAnsi="Poppins"/>
              </w:rPr>
              <w:t xml:space="preserve"> De interne doorrekening vormt geen aanleiding om de programmabegroting 2026 te gaan wijzigen.</w:t>
            </w:r>
          </w:p>
          <w:p w14:paraId="48985BD6" w14:textId="77777777" w:rsidR="00672394" w:rsidRDefault="00672394">
            <w:pPr>
              <w:rPr>
                <w:rFonts w:ascii="Poppins" w:eastAsia="Times New Roman" w:hAnsi="Poppins" w:cs="Times New Roman"/>
                <w:sz w:val="16"/>
                <w:szCs w:val="16"/>
              </w:rPr>
            </w:pPr>
          </w:p>
        </w:tc>
      </w:tr>
      <w:tr w:rsidR="00672394" w14:paraId="640E80EB" w14:textId="77777777" w:rsidTr="00B86198">
        <w:tc>
          <w:tcPr>
            <w:tcW w:w="567" w:type="dxa"/>
          </w:tcPr>
          <w:p w14:paraId="048C9EA9" w14:textId="77777777" w:rsidR="00672394" w:rsidRDefault="00BF307B">
            <w:pPr>
              <w:rPr>
                <w:rFonts w:ascii="Poppins" w:eastAsia="Times New Roman" w:hAnsi="Poppins" w:cs="Times New Roman"/>
              </w:rPr>
            </w:pPr>
            <w:r>
              <w:rPr>
                <w:rFonts w:ascii="Poppins" w:eastAsia="Times New Roman" w:hAnsi="Poppins" w:cs="Times New Roman"/>
                <w:b/>
              </w:rPr>
              <w:lastRenderedPageBreak/>
              <w:t>6</w:t>
            </w:r>
          </w:p>
          <w:p w14:paraId="21AF60A9" w14:textId="77777777" w:rsidR="00672394" w:rsidRDefault="00672394">
            <w:pPr>
              <w:rPr>
                <w:rFonts w:ascii="Poppins" w:eastAsia="Times New Roman" w:hAnsi="Poppins" w:cs="Times New Roman"/>
                <w:sz w:val="16"/>
                <w:szCs w:val="16"/>
              </w:rPr>
            </w:pPr>
          </w:p>
        </w:tc>
        <w:tc>
          <w:tcPr>
            <w:tcW w:w="9781" w:type="dxa"/>
          </w:tcPr>
          <w:p w14:paraId="601BEDC3" w14:textId="77777777" w:rsidR="00672394" w:rsidRDefault="00BF307B">
            <w:pPr>
              <w:rPr>
                <w:rFonts w:ascii="Poppins" w:eastAsia="Times New Roman" w:hAnsi="Poppins" w:cs="Times New Roman"/>
              </w:rPr>
            </w:pPr>
            <w:r>
              <w:rPr>
                <w:rFonts w:ascii="Poppins" w:eastAsia="Times New Roman" w:hAnsi="Poppins" w:cs="Times New Roman"/>
                <w:b/>
              </w:rPr>
              <w:t>Onderhoudsplannen gebouwen (ter kennisgeving)</w:t>
            </w:r>
          </w:p>
          <w:p w14:paraId="59038226" w14:textId="77777777" w:rsidR="00B86198" w:rsidRDefault="00BF307B" w:rsidP="00B86198">
            <w:pPr>
              <w:jc w:val="both"/>
              <w:divId w:val="1932325114"/>
              <w:rPr>
                <w:rFonts w:ascii="Poppins" w:hAnsi="Poppins"/>
              </w:rPr>
            </w:pPr>
            <w:r>
              <w:rPr>
                <w:rFonts w:ascii="Poppins" w:hAnsi="Poppins"/>
              </w:rPr>
              <w:t>Binnen Dokwurk wordt met betrekking tot groot onderhoud van haar bedrijfsgebouwen gewerkt volgens de zogenaamde voorzieningenmethodiek. Binnen het DB zijn de recent geactualiseerde onderhoudsplannen besproken en op hoofdlijnen toegelicht, te weten:</w:t>
            </w:r>
          </w:p>
          <w:p w14:paraId="71627C16" w14:textId="77777777" w:rsidR="00B86198" w:rsidRDefault="00BF307B" w:rsidP="00B86198">
            <w:pPr>
              <w:jc w:val="both"/>
              <w:divId w:val="1932325114"/>
              <w:rPr>
                <w:rFonts w:ascii="Poppins" w:hAnsi="Poppins"/>
              </w:rPr>
            </w:pPr>
            <w:r>
              <w:rPr>
                <w:rFonts w:ascii="Poppins" w:hAnsi="Poppins"/>
              </w:rPr>
              <w:t xml:space="preserve">· MJOP </w:t>
            </w:r>
            <w:proofErr w:type="spellStart"/>
            <w:r>
              <w:rPr>
                <w:rFonts w:ascii="Poppins" w:hAnsi="Poppins"/>
              </w:rPr>
              <w:t>Hendoweg</w:t>
            </w:r>
            <w:proofErr w:type="spellEnd"/>
            <w:r>
              <w:rPr>
                <w:rFonts w:ascii="Poppins" w:hAnsi="Poppins"/>
              </w:rPr>
              <w:t xml:space="preserve"> 26 Dokkum (ref. 220-0137-02 BGDD)</w:t>
            </w:r>
          </w:p>
          <w:p w14:paraId="0A84771A" w14:textId="77777777" w:rsidR="00B86198" w:rsidRDefault="00BF307B" w:rsidP="00B86198">
            <w:pPr>
              <w:jc w:val="both"/>
              <w:divId w:val="1932325114"/>
              <w:rPr>
                <w:rFonts w:ascii="Poppins" w:hAnsi="Poppins"/>
              </w:rPr>
            </w:pPr>
            <w:r>
              <w:rPr>
                <w:rFonts w:ascii="Poppins" w:hAnsi="Poppins"/>
              </w:rPr>
              <w:t>· MJOP Rijdstraat 2 Kollum (ref. 2300478 Bijlstra)</w:t>
            </w:r>
          </w:p>
          <w:p w14:paraId="048BEE55" w14:textId="77777777" w:rsidR="00B86198" w:rsidRDefault="00BF307B" w:rsidP="00B86198">
            <w:pPr>
              <w:jc w:val="both"/>
              <w:divId w:val="1932325114"/>
              <w:rPr>
                <w:rFonts w:ascii="Poppins" w:hAnsi="Poppins"/>
              </w:rPr>
            </w:pPr>
            <w:r>
              <w:rPr>
                <w:rFonts w:ascii="Poppins" w:hAnsi="Poppins"/>
              </w:rPr>
              <w:t>· Bijlage MJOP Rijdstraat 2 Kollum</w:t>
            </w:r>
          </w:p>
          <w:p w14:paraId="4D71420E" w14:textId="77777777" w:rsidR="00B86198" w:rsidRDefault="00BF307B" w:rsidP="00B86198">
            <w:pPr>
              <w:jc w:val="both"/>
              <w:divId w:val="1932325114"/>
              <w:rPr>
                <w:rFonts w:ascii="Poppins" w:hAnsi="Poppins"/>
              </w:rPr>
            </w:pPr>
            <w:r>
              <w:rPr>
                <w:rFonts w:ascii="Poppins" w:hAnsi="Poppins"/>
              </w:rPr>
              <w:t>· MJOP Hendoweg 26 Dokkum – Installaties (118634-1 Damstra Installaties)</w:t>
            </w:r>
          </w:p>
          <w:p w14:paraId="7050C89C" w14:textId="33D48A36" w:rsidR="00672394" w:rsidRDefault="00BF307B" w:rsidP="00B86198">
            <w:pPr>
              <w:jc w:val="both"/>
              <w:divId w:val="1932325114"/>
            </w:pPr>
            <w:r>
              <w:rPr>
                <w:rFonts w:ascii="Poppins" w:hAnsi="Poppins"/>
              </w:rPr>
              <w:t>De onderhoudsvoorziening, welke tot uitdrukking komt in de balans van Dokwurk, wordt opgebouwd op basis van deze onderliggende meerjarenonderhoudsplannen. De onderhoudsplannen worden om de 5 jaar geactualiseerd waarbij de omvang van de voorziening opnieuw wordt beoordeeld en bijgesteld. De jaarlijkse reserveringen worden afgestemd op de gewenste omvang van de voorziening annex met de onderhoudsplannen.</w:t>
            </w:r>
            <w:r>
              <w:rPr>
                <w:rFonts w:ascii="Poppins" w:hAnsi="Poppins"/>
              </w:rPr>
              <w:br/>
              <w:t>Het DB is akkoord met deze methodiek en ziet het belang van juiste onderbouwingen om de conditie van het vastgoed op orde te houden. Afgesproken wordt deze werkwijze omtrent reserveringen ook even met de afdelingen financiën van beide gemeenten af te stemmen. De gemeenten hoeven dit zelf dan niet op te nemen in haar risicoparagraaf.</w:t>
            </w:r>
          </w:p>
          <w:p w14:paraId="662CE9B4" w14:textId="77777777" w:rsidR="00672394" w:rsidRDefault="00672394">
            <w:pPr>
              <w:rPr>
                <w:rFonts w:ascii="Poppins" w:eastAsia="Times New Roman" w:hAnsi="Poppins" w:cs="Times New Roman"/>
                <w:sz w:val="16"/>
                <w:szCs w:val="16"/>
              </w:rPr>
            </w:pPr>
          </w:p>
        </w:tc>
      </w:tr>
      <w:tr w:rsidR="00672394" w14:paraId="0F7D9A5C" w14:textId="77777777" w:rsidTr="00B86198">
        <w:tc>
          <w:tcPr>
            <w:tcW w:w="567" w:type="dxa"/>
          </w:tcPr>
          <w:p w14:paraId="1B74B21B" w14:textId="77777777" w:rsidR="00672394" w:rsidRDefault="00BF307B">
            <w:pPr>
              <w:rPr>
                <w:rFonts w:ascii="Poppins" w:eastAsia="Times New Roman" w:hAnsi="Poppins" w:cs="Times New Roman"/>
              </w:rPr>
            </w:pPr>
            <w:r>
              <w:rPr>
                <w:rFonts w:ascii="Poppins" w:eastAsia="Times New Roman" w:hAnsi="Poppins" w:cs="Times New Roman"/>
                <w:b/>
              </w:rPr>
              <w:t>7</w:t>
            </w:r>
          </w:p>
          <w:p w14:paraId="66E17D83" w14:textId="77777777" w:rsidR="00672394" w:rsidRDefault="00672394">
            <w:pPr>
              <w:rPr>
                <w:rFonts w:ascii="Poppins" w:eastAsia="Times New Roman" w:hAnsi="Poppins" w:cs="Times New Roman"/>
                <w:sz w:val="16"/>
                <w:szCs w:val="16"/>
              </w:rPr>
            </w:pPr>
          </w:p>
        </w:tc>
        <w:tc>
          <w:tcPr>
            <w:tcW w:w="9781" w:type="dxa"/>
          </w:tcPr>
          <w:p w14:paraId="73990445" w14:textId="77777777" w:rsidR="00672394" w:rsidRDefault="00BF307B">
            <w:pPr>
              <w:rPr>
                <w:rFonts w:ascii="Poppins" w:eastAsia="Times New Roman" w:hAnsi="Poppins" w:cs="Times New Roman"/>
              </w:rPr>
            </w:pPr>
            <w:r>
              <w:rPr>
                <w:rFonts w:ascii="Poppins" w:eastAsia="Times New Roman" w:hAnsi="Poppins" w:cs="Times New Roman"/>
                <w:b/>
              </w:rPr>
              <w:t>Informatie ontwikkelingen Holding NEF</w:t>
            </w:r>
          </w:p>
          <w:p w14:paraId="72FDA7CB" w14:textId="77777777" w:rsidR="00672394" w:rsidRDefault="00BF307B">
            <w:pPr>
              <w:divId w:val="438688363"/>
            </w:pPr>
            <w:r>
              <w:rPr>
                <w:rFonts w:ascii="Poppins" w:hAnsi="Poppins"/>
              </w:rPr>
              <w:t>Geen bijzonderheden.</w:t>
            </w:r>
          </w:p>
          <w:p w14:paraId="081B0438" w14:textId="77777777" w:rsidR="00672394" w:rsidRDefault="00672394">
            <w:pPr>
              <w:rPr>
                <w:rFonts w:ascii="Poppins" w:eastAsia="Times New Roman" w:hAnsi="Poppins" w:cs="Times New Roman"/>
                <w:sz w:val="16"/>
                <w:szCs w:val="16"/>
              </w:rPr>
            </w:pPr>
          </w:p>
        </w:tc>
      </w:tr>
      <w:tr w:rsidR="00672394" w14:paraId="1A61086D" w14:textId="77777777" w:rsidTr="00B86198">
        <w:tc>
          <w:tcPr>
            <w:tcW w:w="567" w:type="dxa"/>
          </w:tcPr>
          <w:p w14:paraId="60976FDF" w14:textId="77777777" w:rsidR="00672394" w:rsidRDefault="00BF307B">
            <w:pPr>
              <w:rPr>
                <w:rFonts w:ascii="Poppins" w:eastAsia="Times New Roman" w:hAnsi="Poppins" w:cs="Times New Roman"/>
              </w:rPr>
            </w:pPr>
            <w:r>
              <w:rPr>
                <w:rFonts w:ascii="Poppins" w:eastAsia="Times New Roman" w:hAnsi="Poppins" w:cs="Times New Roman"/>
                <w:b/>
              </w:rPr>
              <w:t>8</w:t>
            </w:r>
          </w:p>
          <w:p w14:paraId="2CAB9D8C" w14:textId="77777777" w:rsidR="00672394" w:rsidRDefault="00672394">
            <w:pPr>
              <w:rPr>
                <w:rFonts w:ascii="Poppins" w:eastAsia="Times New Roman" w:hAnsi="Poppins" w:cs="Times New Roman"/>
                <w:sz w:val="16"/>
                <w:szCs w:val="16"/>
              </w:rPr>
            </w:pPr>
          </w:p>
        </w:tc>
        <w:tc>
          <w:tcPr>
            <w:tcW w:w="9781" w:type="dxa"/>
          </w:tcPr>
          <w:p w14:paraId="4EC7CE0A" w14:textId="77777777" w:rsidR="00672394" w:rsidRDefault="00BF307B">
            <w:pPr>
              <w:rPr>
                <w:rFonts w:ascii="Poppins" w:eastAsia="Times New Roman" w:hAnsi="Poppins" w:cs="Times New Roman"/>
              </w:rPr>
            </w:pPr>
            <w:r>
              <w:rPr>
                <w:rFonts w:ascii="Poppins" w:eastAsia="Times New Roman" w:hAnsi="Poppins" w:cs="Times New Roman"/>
                <w:b/>
              </w:rPr>
              <w:t>Rondvraag</w:t>
            </w:r>
          </w:p>
          <w:p w14:paraId="7283EDB7" w14:textId="77777777" w:rsidR="00672394" w:rsidRDefault="00BF307B">
            <w:pPr>
              <w:divId w:val="1324703833"/>
            </w:pPr>
            <w:r>
              <w:rPr>
                <w:rFonts w:ascii="Poppins" w:hAnsi="Poppins"/>
              </w:rPr>
              <w:t>Er wordt geen gebruik gemaakt van de rondvraag.</w:t>
            </w:r>
          </w:p>
          <w:p w14:paraId="4A437EB7" w14:textId="77777777" w:rsidR="00672394" w:rsidRDefault="00672394">
            <w:pPr>
              <w:rPr>
                <w:rFonts w:ascii="Poppins" w:eastAsia="Times New Roman" w:hAnsi="Poppins" w:cs="Times New Roman"/>
                <w:sz w:val="16"/>
                <w:szCs w:val="16"/>
              </w:rPr>
            </w:pPr>
          </w:p>
        </w:tc>
      </w:tr>
      <w:tr w:rsidR="00672394" w14:paraId="2E6856B6" w14:textId="77777777" w:rsidTr="00B86198">
        <w:tc>
          <w:tcPr>
            <w:tcW w:w="567" w:type="dxa"/>
          </w:tcPr>
          <w:p w14:paraId="178CFE30" w14:textId="77777777" w:rsidR="00672394" w:rsidRDefault="00BF307B">
            <w:pPr>
              <w:rPr>
                <w:rFonts w:ascii="Poppins" w:eastAsia="Times New Roman" w:hAnsi="Poppins" w:cs="Times New Roman"/>
              </w:rPr>
            </w:pPr>
            <w:r>
              <w:rPr>
                <w:rFonts w:ascii="Poppins" w:eastAsia="Times New Roman" w:hAnsi="Poppins" w:cs="Times New Roman"/>
                <w:b/>
              </w:rPr>
              <w:t>9</w:t>
            </w:r>
          </w:p>
          <w:p w14:paraId="170040F2" w14:textId="77777777" w:rsidR="00672394" w:rsidRDefault="00672394">
            <w:pPr>
              <w:rPr>
                <w:rFonts w:ascii="Poppins" w:eastAsia="Times New Roman" w:hAnsi="Poppins" w:cs="Times New Roman"/>
                <w:sz w:val="16"/>
                <w:szCs w:val="16"/>
              </w:rPr>
            </w:pPr>
          </w:p>
        </w:tc>
        <w:tc>
          <w:tcPr>
            <w:tcW w:w="9781" w:type="dxa"/>
          </w:tcPr>
          <w:p w14:paraId="7FC83EA7" w14:textId="77777777" w:rsidR="00672394" w:rsidRDefault="00BF307B">
            <w:pPr>
              <w:rPr>
                <w:rFonts w:ascii="Poppins" w:eastAsia="Times New Roman" w:hAnsi="Poppins" w:cs="Times New Roman"/>
              </w:rPr>
            </w:pPr>
            <w:r>
              <w:rPr>
                <w:rFonts w:ascii="Poppins" w:eastAsia="Times New Roman" w:hAnsi="Poppins" w:cs="Times New Roman"/>
                <w:b/>
              </w:rPr>
              <w:t>Sluiting</w:t>
            </w:r>
          </w:p>
          <w:p w14:paraId="57B5B417" w14:textId="77777777" w:rsidR="00672394" w:rsidRDefault="00BF307B">
            <w:pPr>
              <w:divId w:val="998431557"/>
            </w:pPr>
            <w:r>
              <w:rPr>
                <w:rFonts w:ascii="Poppins" w:hAnsi="Poppins"/>
              </w:rPr>
              <w:t>De voorzitter sluit de vergadering.</w:t>
            </w:r>
          </w:p>
          <w:p w14:paraId="70CAC805" w14:textId="77777777" w:rsidR="00672394" w:rsidRDefault="00672394">
            <w:pPr>
              <w:rPr>
                <w:rFonts w:ascii="Poppins" w:eastAsia="Times New Roman" w:hAnsi="Poppins" w:cs="Times New Roman"/>
                <w:sz w:val="16"/>
                <w:szCs w:val="16"/>
              </w:rPr>
            </w:pPr>
          </w:p>
        </w:tc>
      </w:tr>
    </w:tbl>
    <w:p w14:paraId="19282E98" w14:textId="77777777" w:rsidR="00BF307B" w:rsidRDefault="00BF307B" w:rsidP="00BF307B"/>
    <w:p w14:paraId="66D2EF3F" w14:textId="77777777" w:rsidR="00BF307B" w:rsidRDefault="00BF307B" w:rsidP="00BF307B"/>
    <w:p w14:paraId="0BA9B394" w14:textId="77777777" w:rsidR="00BF307B" w:rsidRDefault="00BF307B" w:rsidP="00BF307B"/>
    <w:p w14:paraId="35904BD2" w14:textId="61B61808" w:rsidR="00BF307B" w:rsidRDefault="00BF307B" w:rsidP="00BF307B">
      <w:r>
        <w:t>Aldus goedgekeurd en vastgesteld in de vergadering van 4 maart 2026.</w:t>
      </w:r>
    </w:p>
    <w:p w14:paraId="7BB97F84" w14:textId="77777777" w:rsidR="00BF307B" w:rsidRDefault="00BF307B" w:rsidP="00BF307B">
      <w:pPr>
        <w:pStyle w:val="Geenafstand"/>
      </w:pPr>
    </w:p>
    <w:p w14:paraId="165DEF0E" w14:textId="77777777" w:rsidR="00BF307B" w:rsidRDefault="00BF307B" w:rsidP="00BF307B">
      <w:pPr>
        <w:pStyle w:val="Geenafstand"/>
      </w:pPr>
    </w:p>
    <w:p w14:paraId="2CA8A88E" w14:textId="77777777" w:rsidR="00BF307B" w:rsidRDefault="00BF307B" w:rsidP="00BF307B">
      <w:pPr>
        <w:pStyle w:val="Geenafstand"/>
      </w:pPr>
    </w:p>
    <w:p w14:paraId="419671BF" w14:textId="4E2075D7" w:rsidR="00BF307B" w:rsidRDefault="00BF307B" w:rsidP="00BF307B">
      <w:pPr>
        <w:pStyle w:val="Geenafstand"/>
      </w:pPr>
      <w:r>
        <w:t>Voorzitter,                                             Secretaris,</w:t>
      </w:r>
    </w:p>
    <w:p w14:paraId="73D3575C" w14:textId="77777777" w:rsidR="00672394" w:rsidRDefault="00672394"/>
    <w:sectPr w:rsidR="00672394" w:rsidSect="00BF307B">
      <w:footerReference w:type="default" r:id="rId7"/>
      <w:headerReference w:type="first" r:id="rId8"/>
      <w:pgSz w:w="11906" w:h="16838"/>
      <w:pgMar w:top="1417" w:right="707" w:bottom="993" w:left="851" w:header="708"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E653" w14:textId="77777777" w:rsidR="00BF307B" w:rsidRDefault="00BF307B">
      <w:pPr>
        <w:spacing w:after="0" w:line="240" w:lineRule="auto"/>
      </w:pPr>
      <w:r>
        <w:separator/>
      </w:r>
    </w:p>
  </w:endnote>
  <w:endnote w:type="continuationSeparator" w:id="0">
    <w:p w14:paraId="0A6023C5" w14:textId="77777777" w:rsidR="00BF307B" w:rsidRDefault="00BF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EC95" w14:textId="14884969" w:rsidR="007B6497" w:rsidRDefault="00BF307B" w:rsidP="007B6497">
    <w:pPr>
      <w:pStyle w:val="Koptekst"/>
      <w:jc w:val="right"/>
    </w:pPr>
    <w:r>
      <w:t xml:space="preserve">Notulen Dagelijks Bestuur d.d. 15 december 2025                                                                                                             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65AFD416"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CD02" w14:textId="77777777" w:rsidR="00BF307B" w:rsidRDefault="00BF307B">
      <w:pPr>
        <w:spacing w:after="0" w:line="240" w:lineRule="auto"/>
      </w:pPr>
      <w:r>
        <w:separator/>
      </w:r>
    </w:p>
  </w:footnote>
  <w:footnote w:type="continuationSeparator" w:id="0">
    <w:p w14:paraId="01146208" w14:textId="77777777" w:rsidR="00BF307B" w:rsidRDefault="00BF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9085" w14:textId="77777777" w:rsidR="00672394" w:rsidRDefault="00BF307B">
    <w:pPr>
      <w:jc w:val="right"/>
    </w:pPr>
    <w:r>
      <w:rPr>
        <w:noProof/>
      </w:rPr>
      <w:drawing>
        <wp:inline distT="0" distB="0" distL="0" distR="0" wp14:anchorId="1AF55EFF" wp14:editId="524A143C">
          <wp:extent cx="1124106" cy="952633"/>
          <wp:effectExtent l="0" t="0" r="0" b="2540"/>
          <wp:docPr id="173562191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124106" cy="9526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A0426"/>
    <w:rsid w:val="00297B37"/>
    <w:rsid w:val="00330932"/>
    <w:rsid w:val="004D5614"/>
    <w:rsid w:val="00672394"/>
    <w:rsid w:val="007B6497"/>
    <w:rsid w:val="00A434FE"/>
    <w:rsid w:val="00B86198"/>
    <w:rsid w:val="00BF307B"/>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7A45CA1"/>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Poppins" w:eastAsia="Times New Roman" w:hAnsi="Poppins"/>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Poppins" w:eastAsia="Times New Roman" w:hAnsi="Poppins"/>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Poppins" w:eastAsia="Times New Roman" w:hAnsi="Poppins"/>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Poppins" w:eastAsia="Times New Roman" w:hAnsi="Poppins"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Poppins" w:eastAsia="Times New Roman" w:hAnsi="Poppins"/>
      <w:spacing w:val="-10"/>
      <w:kern w:val="28"/>
      <w:sz w:val="56"/>
      <w:szCs w:val="56"/>
    </w:rPr>
  </w:style>
  <w:style w:type="character" w:customStyle="1" w:styleId="TitelChar">
    <w:name w:val="Titel Char"/>
    <w:basedOn w:val="Standaardalinea-lettertype"/>
    <w:link w:val="Titel"/>
    <w:uiPriority w:val="10"/>
    <w:rsid w:val="00E3611B"/>
    <w:rPr>
      <w:rFonts w:ascii="Poppins" w:eastAsia="Times New Roman" w:hAnsi="Poppins"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Poppins" w:eastAsia="Times New Roman" w:hAnsi="Poppins" w:cs="Times New Roman"/>
      <w:color w:val="2E74B5"/>
      <w:sz w:val="22"/>
      <w:szCs w:val="22"/>
    </w:rPr>
  </w:style>
  <w:style w:type="character" w:customStyle="1" w:styleId="Kop3Char">
    <w:name w:val="Kop 3 Char"/>
    <w:basedOn w:val="Standaardalinea-lettertype"/>
    <w:link w:val="Kop3"/>
    <w:uiPriority w:val="9"/>
    <w:rsid w:val="00234347"/>
    <w:rPr>
      <w:rFonts w:ascii="Poppins" w:eastAsia="Times New Roman" w:hAnsi="Poppins"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character" w:styleId="Nadruk">
    <w:name w:val="Emphasis"/>
    <w:basedOn w:val="Standaardalinea-lettertype"/>
    <w:uiPriority w:val="20"/>
    <w:qFormat/>
    <w:rsid w:val="00506D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228">
      <w:bodyDiv w:val="1"/>
      <w:marLeft w:val="0"/>
      <w:marRight w:val="0"/>
      <w:marTop w:val="0"/>
      <w:marBottom w:val="0"/>
      <w:divBdr>
        <w:top w:val="none" w:sz="0" w:space="0" w:color="auto"/>
        <w:left w:val="none" w:sz="0" w:space="0" w:color="auto"/>
        <w:bottom w:val="none" w:sz="0" w:space="0" w:color="auto"/>
        <w:right w:val="none" w:sz="0" w:space="0" w:color="auto"/>
      </w:divBdr>
    </w:div>
    <w:div w:id="438688363">
      <w:bodyDiv w:val="1"/>
      <w:marLeft w:val="0"/>
      <w:marRight w:val="0"/>
      <w:marTop w:val="0"/>
      <w:marBottom w:val="0"/>
      <w:divBdr>
        <w:top w:val="none" w:sz="0" w:space="0" w:color="auto"/>
        <w:left w:val="none" w:sz="0" w:space="0" w:color="auto"/>
        <w:bottom w:val="none" w:sz="0" w:space="0" w:color="auto"/>
        <w:right w:val="none" w:sz="0" w:space="0" w:color="auto"/>
      </w:divBdr>
    </w:div>
    <w:div w:id="533564497">
      <w:bodyDiv w:val="1"/>
      <w:marLeft w:val="0"/>
      <w:marRight w:val="0"/>
      <w:marTop w:val="0"/>
      <w:marBottom w:val="0"/>
      <w:divBdr>
        <w:top w:val="none" w:sz="0" w:space="0" w:color="auto"/>
        <w:left w:val="none" w:sz="0" w:space="0" w:color="auto"/>
        <w:bottom w:val="none" w:sz="0" w:space="0" w:color="auto"/>
        <w:right w:val="none" w:sz="0" w:space="0" w:color="auto"/>
      </w:divBdr>
    </w:div>
    <w:div w:id="597548449">
      <w:bodyDiv w:val="1"/>
      <w:marLeft w:val="0"/>
      <w:marRight w:val="0"/>
      <w:marTop w:val="0"/>
      <w:marBottom w:val="0"/>
      <w:divBdr>
        <w:top w:val="none" w:sz="0" w:space="0" w:color="auto"/>
        <w:left w:val="none" w:sz="0" w:space="0" w:color="auto"/>
        <w:bottom w:val="none" w:sz="0" w:space="0" w:color="auto"/>
        <w:right w:val="none" w:sz="0" w:space="0" w:color="auto"/>
      </w:divBdr>
    </w:div>
    <w:div w:id="998431557">
      <w:bodyDiv w:val="1"/>
      <w:marLeft w:val="0"/>
      <w:marRight w:val="0"/>
      <w:marTop w:val="0"/>
      <w:marBottom w:val="0"/>
      <w:divBdr>
        <w:top w:val="none" w:sz="0" w:space="0" w:color="auto"/>
        <w:left w:val="none" w:sz="0" w:space="0" w:color="auto"/>
        <w:bottom w:val="none" w:sz="0" w:space="0" w:color="auto"/>
        <w:right w:val="none" w:sz="0" w:space="0" w:color="auto"/>
      </w:divBdr>
    </w:div>
    <w:div w:id="1109099260">
      <w:bodyDiv w:val="1"/>
      <w:marLeft w:val="0"/>
      <w:marRight w:val="0"/>
      <w:marTop w:val="0"/>
      <w:marBottom w:val="0"/>
      <w:divBdr>
        <w:top w:val="none" w:sz="0" w:space="0" w:color="auto"/>
        <w:left w:val="none" w:sz="0" w:space="0" w:color="auto"/>
        <w:bottom w:val="none" w:sz="0" w:space="0" w:color="auto"/>
        <w:right w:val="none" w:sz="0" w:space="0" w:color="auto"/>
      </w:divBdr>
    </w:div>
    <w:div w:id="1324703833">
      <w:bodyDiv w:val="1"/>
      <w:marLeft w:val="0"/>
      <w:marRight w:val="0"/>
      <w:marTop w:val="0"/>
      <w:marBottom w:val="0"/>
      <w:divBdr>
        <w:top w:val="none" w:sz="0" w:space="0" w:color="auto"/>
        <w:left w:val="none" w:sz="0" w:space="0" w:color="auto"/>
        <w:bottom w:val="none" w:sz="0" w:space="0" w:color="auto"/>
        <w:right w:val="none" w:sz="0" w:space="0" w:color="auto"/>
      </w:divBdr>
    </w:div>
    <w:div w:id="1839056987">
      <w:bodyDiv w:val="1"/>
      <w:marLeft w:val="0"/>
      <w:marRight w:val="0"/>
      <w:marTop w:val="0"/>
      <w:marBottom w:val="0"/>
      <w:divBdr>
        <w:top w:val="none" w:sz="0" w:space="0" w:color="auto"/>
        <w:left w:val="none" w:sz="0" w:space="0" w:color="auto"/>
        <w:bottom w:val="none" w:sz="0" w:space="0" w:color="auto"/>
        <w:right w:val="none" w:sz="0" w:space="0" w:color="auto"/>
      </w:divBdr>
    </w:div>
    <w:div w:id="193232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Poppins"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oppins"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3547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Dokwurk</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Dagelijks Bestuur GR NEF 15 december 2025</dc:title>
  <dc:creator>iBabs</dc:creator>
  <cp:lastModifiedBy>Wiebrig Reitsma</cp:lastModifiedBy>
  <cp:revision>2</cp:revision>
  <dcterms:created xsi:type="dcterms:W3CDTF">2026-02-09T09:34:00Z</dcterms:created>
  <dcterms:modified xsi:type="dcterms:W3CDTF">2026-02-09T09:34:00Z</dcterms:modified>
</cp:coreProperties>
</file>